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8"/>
          <w:szCs w:val="28"/>
        </w:rPr>
        <w:t>REQUERIMENTO DE EXCLUSÃO DO RESPONSÁVEL TÉCNICO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Sr. Presidente do Conselho Regional de Medicina do Estado do Amazonas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_________________________________________________________, CRM nº _______ venho através deste, comunicar em atendimento a Resolução CFM nº 1.342 de 08 de março de 1991, através de seu artigo 6º, e Resolução CFM nº 1.980 de 13 de dezembro de 2011, através de seu artigo 11º, que a partir de ____/____/____ encontrar-me-ei excluído da Diretoria Técnica da empresa ___________________________________________________________________, CRMPJ nº ______, em face de ______________________________________________________.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Declaro ainda que, de acordo com documento em anexo, comuniquei, em tempo hábil, minha decisão à direção superior do estabelecimento, solicitando minha imediata substituição.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6021070" cy="237490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280" cy="23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RESOLUÇÃO CFM Nº 1.342, DE 08 DE MARÇO DE 1991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>Art. 6º</w:t>
                            </w:r>
                            <w:r>
                              <w:rPr/>
                              <w:t xml:space="preserve"> Em caso de afastamento ou substituição do Diretor Técnico ou Clínico, aquele que deixa o cargo tem o dever de imediatamente comunicar tal fato, por escrito, ao Conselho Regional de Medicina.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>Parágrafo único</w:t>
                            </w:r>
                            <w:r>
                              <w:rPr/>
                              <w:t xml:space="preserve"> – A substituição do Diretor afastado deverá ocorrer de imediato, obrigando-se o Diretor que assume o cargo a fazer a devida notificação ao Conselho Regional de Medicina. (...)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RESOLUÇÃO CFM Nº 1.980, DE 13 DE DEZEMBRO DE 2011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>Art. 11º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 empresa, instituição, entidade ou estabelecimento promoverá a substituição do diretor técnico ou clínico no prazo de 24 (vinte e quatro) horas, contadas a partir do impedimento, suspensão ou demissão, comunicando este fato ao conselho regional de medicina – em idêntico prazo, mediante requerimento próprio assinado pelo profissional médico substituto, </w:t>
                            </w:r>
                            <w:r>
                              <w:rPr>
                                <w:rStyle w:val="Grame"/>
                                <w:color w:val="000000"/>
                              </w:rPr>
                              <w:t>sob pena</w:t>
                            </w:r>
                            <w:r>
                              <w:rPr>
                                <w:color w:val="000000"/>
                              </w:rPr>
                              <w:t xml:space="preserve"> de suspensão da inscrição – e, ainda, à vigilância sanitária e demais órgãos públicos e privados envolvidos na assistência pertinente.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0.35pt;margin-top:9.6pt;width:474pt;height:186.9pt">
                <w10:wrap type="square"/>
                <v:fill o:detectmouseclick="t" type="solid" color2="black"/>
                <v:stroke color="black" weight="381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RESOLUÇÃO CFM Nº 1.342, DE 08 DE MARÇO DE 1991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b/>
                        </w:rPr>
                        <w:t>Art. 6º</w:t>
                      </w:r>
                      <w:r>
                        <w:rPr/>
                        <w:t xml:space="preserve"> Em caso de afastamento ou substituição do Diretor Técnico ou Clínico, aquele que deixa o cargo tem o dever de imediatamente comunicar tal fato, por escrito, ao Conselho Regional de Medicina.</w:t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b/>
                        </w:rPr>
                        <w:t>Parágrafo único</w:t>
                      </w:r>
                      <w:r>
                        <w:rPr/>
                        <w:t xml:space="preserve"> – A substituição do Diretor afastado deverá ocorrer de imediato, obrigando-se o Diretor que assume o cargo a fazer a devida notificação ao Conselho Regional de Medicina. (...)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RESOLUÇÃO CFM Nº 1.980, DE 13 DE DEZEMBRO DE 2011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b/>
                        </w:rPr>
                        <w:t>Art. 11º</w:t>
                      </w:r>
                      <w:r>
                        <w:rPr/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 empresa, instituição, entidade ou estabelecimento promoverá a substituição do diretor técnico ou clínico no prazo de 24 (vinte e quatro) horas, contadas a partir do impedimento, suspensão ou demissão, comunicando este fato ao conselho regional de medicina – em idêntico prazo, mediante requerimento próprio assinado pelo profissional médico substituto, </w:t>
                      </w:r>
                      <w:r>
                        <w:rPr>
                          <w:rStyle w:val="Grame"/>
                          <w:color w:val="000000"/>
                        </w:rPr>
                        <w:t>sob pena</w:t>
                      </w:r>
                      <w:r>
                        <w:rPr>
                          <w:color w:val="000000"/>
                        </w:rPr>
                        <w:t xml:space="preserve"> de suspensão da inscrição – e, ainda, à vigilância sanitária e demais órgãos públicos e privados envolvidos na assistência pertinente.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2207895" cy="1581150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60" cy="158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A cargo do CRM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Procedida a alteração cadastral em: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___/___/___</w:t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A"/>
                              </w:pBd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A"/>
                              </w:pBd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pBdr>
                                <w:bottom w:val="single" w:sz="12" w:space="1" w:color="00000A"/>
                              </w:pBd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Responsável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2.6pt;margin-top:4.6pt;width:173.75pt;height:124.4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A"/>
                        </w:rPr>
                        <w:t>A cargo do CRM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Procedida a alteração cadastral em:</w:t>
                      </w:r>
                    </w:p>
                    <w:p>
                      <w:pPr>
                        <w:pStyle w:val="Contedodoquadr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___/___/___</w:t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A"/>
                        </w:pBdr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A"/>
                        </w:pBdr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pBdr>
                          <w:bottom w:val="single" w:sz="12" w:space="1" w:color="00000A"/>
                        </w:pBdr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Responsável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Manaus, _____ de _______________________ de _________.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  <w:r>
        <w:rPr>
          <w:szCs w:val="24"/>
        </w:rPr>
        <w:t>Assinatura do Responsável Técnico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3" w:top="1642" w:footer="462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entury Gothic" w:hAnsi="Century Gothic" w:cs="Tahoma"/>
        <w:sz w:val="16"/>
        <w:szCs w:val="16"/>
      </w:rPr>
    </w:pPr>
    <w:bookmarkStart w:id="0" w:name="__DdeLink__37_75791423"/>
    <w:r>
      <w:rPr>
        <w:rFonts w:cs="Tahoma" w:ascii="Century Gothic" w:hAnsi="Century Gothic"/>
        <w:sz w:val="16"/>
        <w:szCs w:val="16"/>
      </w:rPr>
      <w:t>_________________________________________________________________________________________________________</w:t>
    </w:r>
  </w:p>
  <w:p>
    <w:pPr>
      <w:pStyle w:val="Cabealho"/>
      <w:jc w:val="center"/>
      <w:rPr>
        <w:rFonts w:ascii="Century Gothic" w:hAnsi="Century Gothic" w:cs="Tahoma"/>
        <w:sz w:val="10"/>
        <w:szCs w:val="10"/>
      </w:rPr>
    </w:pPr>
    <w:r>
      <w:rPr>
        <w:rFonts w:cs="Tahoma" w:ascii="Century Gothic" w:hAnsi="Century Gothic"/>
        <w:sz w:val="10"/>
        <w:szCs w:val="10"/>
      </w:rPr>
    </w:r>
  </w:p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Sede: Av. Senador Raimundo Parente, 06 – Praça Walter Góes – Alvorada</w:t>
    </w:r>
  </w:p>
  <w:p>
    <w:pPr>
      <w:pStyle w:val="Cabealho"/>
      <w:jc w:val="center"/>
      <w:rPr/>
    </w:pPr>
    <w:r>
      <w:rPr>
        <w:rFonts w:cs="Tahoma" w:ascii="Century Gothic" w:hAnsi="Century Gothic"/>
        <w:sz w:val="18"/>
        <w:szCs w:val="18"/>
      </w:rPr>
      <w:t>CEP: 69048-66</w:t>
    </w:r>
    <w:r>
      <w:rPr>
        <w:rFonts w:cs="Tahoma" w:ascii="Century Gothic" w:hAnsi="Century Gothic"/>
        <w:sz w:val="18"/>
        <w:szCs w:val="18"/>
      </w:rPr>
      <w:t>2</w:t>
    </w:r>
    <w:r>
      <w:rPr>
        <w:rFonts w:cs="Tahoma" w:ascii="Century Gothic" w:hAnsi="Century Gothic"/>
        <w:sz w:val="18"/>
        <w:szCs w:val="18"/>
      </w:rPr>
      <w:t xml:space="preserve"> – Manaus – Amazonas</w:t>
    </w:r>
  </w:p>
  <w:p>
    <w:pPr>
      <w:pStyle w:val="Cabealho"/>
      <w:jc w:val="center"/>
      <w:rPr/>
    </w:pPr>
    <w:bookmarkStart w:id="1" w:name="__DdeLink__37_75791423"/>
    <w:r>
      <w:rPr>
        <w:rFonts w:cs="Tahoma" w:ascii="Century Gothic" w:hAnsi="Century Gothic"/>
        <w:sz w:val="18"/>
        <w:szCs w:val="18"/>
      </w:rPr>
      <w:t xml:space="preserve">Telefones: (92) 3656-0531 / 0532 / 0536 / 0537 – Email: </w:t>
    </w:r>
    <w:bookmarkEnd w:id="1"/>
    <w:r>
      <w:rPr>
        <w:rFonts w:cs="Tahoma" w:ascii="Century Gothic" w:hAnsi="Century Gothic"/>
        <w:i/>
        <w:sz w:val="18"/>
        <w:szCs w:val="18"/>
      </w:rPr>
      <w:t>empresa.cremam@portalmedico.org.br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90" w:leader="none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543550" cy="720090"/>
          <wp:effectExtent l="0" t="0" r="0" b="0"/>
          <wp:docPr id="5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_________________________________________________________________________________________________________</w:t>
    </w:r>
  </w:p>
  <w:p>
    <w:pPr>
      <w:pStyle w:val="Cabealho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8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51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63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63e5"/>
    <w:rPr/>
  </w:style>
  <w:style w:type="character" w:styleId="LinkdaInternet">
    <w:name w:val="Link da Internet"/>
    <w:basedOn w:val="DefaultParagraphFont"/>
    <w:uiPriority w:val="99"/>
    <w:unhideWhenUsed/>
    <w:rsid w:val="000b6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6b7e"/>
    <w:rPr>
      <w:b/>
      <w:bCs/>
    </w:rPr>
  </w:style>
  <w:style w:type="character" w:styleId="Grame" w:customStyle="1">
    <w:name w:val="grame"/>
    <w:basedOn w:val="DefaultParagraphFont"/>
    <w:qFormat/>
    <w:rsid w:val="00db591c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51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2c7444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E10C-F271-45ED-9051-BD85F9E2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LibreOffice/5.2.2.2$Linux_X86_64 LibreOffice_project/20m0$Build-2</Application>
  <Pages>1</Pages>
  <Words>307</Words>
  <Characters>2107</Characters>
  <CharactersWithSpaces>2531</CharactersWithSpaces>
  <Paragraphs>22</Paragraphs>
  <Company>CREMAM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2013-03-26T18:04:00Z</dcterms:created>
  <dc:creator>Conselho Regional de Medicina do Est. do Amazonas</dc:creator>
  <dc:description/>
  <dc:language>pt-BR</dc:language>
  <cp:lastModifiedBy/>
  <dcterms:modified xsi:type="dcterms:W3CDTF">2017-07-11T15:45:38Z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CREMAM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